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A5" w:rsidRPr="00B14359" w:rsidRDefault="001F38A5" w:rsidP="001F38A5">
      <w:pPr>
        <w:jc w:val="center"/>
        <w:rPr>
          <w:b/>
          <w:sz w:val="28"/>
          <w:szCs w:val="28"/>
        </w:rPr>
      </w:pPr>
      <w:r w:rsidRPr="00B14359">
        <w:rPr>
          <w:b/>
          <w:sz w:val="28"/>
          <w:szCs w:val="28"/>
        </w:rPr>
        <w:t>Laboratory Worker</w:t>
      </w:r>
      <w:r w:rsidRPr="004E37AC">
        <w:rPr>
          <w:b/>
          <w:sz w:val="28"/>
          <w:szCs w:val="28"/>
        </w:rPr>
        <w:t xml:space="preserve"> </w:t>
      </w:r>
      <w:proofErr w:type="spellStart"/>
      <w:r w:rsidRPr="00B14359">
        <w:rPr>
          <w:b/>
          <w:sz w:val="28"/>
          <w:szCs w:val="28"/>
        </w:rPr>
        <w:t>BioSafety</w:t>
      </w:r>
      <w:proofErr w:type="spellEnd"/>
    </w:p>
    <w:p w:rsidR="001F38A5" w:rsidRPr="00B14359" w:rsidRDefault="001F38A5" w:rsidP="001F38A5">
      <w:pPr>
        <w:jc w:val="center"/>
        <w:rPr>
          <w:sz w:val="28"/>
          <w:szCs w:val="28"/>
        </w:rPr>
      </w:pPr>
      <w:r w:rsidRPr="00B14359">
        <w:rPr>
          <w:b/>
          <w:sz w:val="28"/>
          <w:szCs w:val="28"/>
        </w:rPr>
        <w:t>Health and Safety Orientation</w:t>
      </w:r>
    </w:p>
    <w:p w:rsidR="001F38A5" w:rsidRPr="007A1B79" w:rsidRDefault="001F38A5" w:rsidP="001F38A5">
      <w:pPr>
        <w:jc w:val="center"/>
        <w:rPr>
          <w:sz w:val="22"/>
          <w:szCs w:val="22"/>
        </w:rPr>
      </w:pPr>
    </w:p>
    <w:p w:rsidR="001F38A5" w:rsidRPr="007A1B79" w:rsidRDefault="001F38A5" w:rsidP="001F38A5">
      <w:pPr>
        <w:rPr>
          <w:sz w:val="22"/>
          <w:szCs w:val="22"/>
        </w:rPr>
      </w:pPr>
      <w:r w:rsidRPr="007A1B79">
        <w:rPr>
          <w:sz w:val="22"/>
          <w:szCs w:val="22"/>
        </w:rPr>
        <w:t xml:space="preserve">UCSC researchers working in </w:t>
      </w:r>
      <w:r>
        <w:rPr>
          <w:sz w:val="22"/>
          <w:szCs w:val="22"/>
        </w:rPr>
        <w:t>laboratories with occupational exposure to human blood, human cell lines, or other potentially infectious materials shall:</w:t>
      </w:r>
    </w:p>
    <w:p w:rsidR="001F38A5" w:rsidRPr="007A1B79" w:rsidRDefault="001F38A5" w:rsidP="001F38A5">
      <w:pPr>
        <w:rPr>
          <w:sz w:val="22"/>
          <w:szCs w:val="22"/>
        </w:rPr>
      </w:pPr>
    </w:p>
    <w:p w:rsidR="001F38A5" w:rsidRPr="00821797" w:rsidRDefault="001F38A5" w:rsidP="001F38A5">
      <w:pPr>
        <w:numPr>
          <w:ilvl w:val="0"/>
          <w:numId w:val="1"/>
        </w:numPr>
        <w:tabs>
          <w:tab w:val="clear" w:pos="720"/>
          <w:tab w:val="num" w:pos="360"/>
        </w:tabs>
        <w:ind w:left="360"/>
        <w:rPr>
          <w:sz w:val="22"/>
          <w:szCs w:val="22"/>
        </w:rPr>
      </w:pPr>
      <w:r w:rsidRPr="007A1B79">
        <w:rPr>
          <w:sz w:val="22"/>
          <w:szCs w:val="22"/>
        </w:rPr>
        <w:t xml:space="preserve">Read and understand the contents of the </w:t>
      </w:r>
      <w:r w:rsidRPr="0030270C">
        <w:rPr>
          <w:sz w:val="22"/>
          <w:szCs w:val="22"/>
        </w:rPr>
        <w:t>UCSC Laboratory- Specific Safety Training Checklist</w:t>
      </w:r>
      <w:r w:rsidRPr="007A1B79">
        <w:rPr>
          <w:sz w:val="22"/>
          <w:szCs w:val="22"/>
        </w:rPr>
        <w:t xml:space="preserve"> required of all researchers working in UCSC laboratories.</w:t>
      </w:r>
    </w:p>
    <w:p w:rsidR="001F38A5" w:rsidRDefault="001F38A5" w:rsidP="001F38A5">
      <w:pPr>
        <w:numPr>
          <w:ilvl w:val="0"/>
          <w:numId w:val="1"/>
        </w:numPr>
        <w:tabs>
          <w:tab w:val="clear" w:pos="720"/>
          <w:tab w:val="num" w:pos="360"/>
        </w:tabs>
        <w:ind w:left="360"/>
        <w:rPr>
          <w:sz w:val="22"/>
          <w:szCs w:val="22"/>
        </w:rPr>
      </w:pPr>
      <w:r w:rsidRPr="007A1B79">
        <w:rPr>
          <w:sz w:val="22"/>
          <w:szCs w:val="22"/>
        </w:rPr>
        <w:t xml:space="preserve">Understand </w:t>
      </w:r>
      <w:r>
        <w:rPr>
          <w:sz w:val="22"/>
          <w:szCs w:val="22"/>
        </w:rPr>
        <w:t xml:space="preserve">the content and principles outlined in the UCSC </w:t>
      </w:r>
      <w:proofErr w:type="spellStart"/>
      <w:r>
        <w:rPr>
          <w:sz w:val="22"/>
          <w:szCs w:val="22"/>
        </w:rPr>
        <w:t>Bloodborne</w:t>
      </w:r>
      <w:proofErr w:type="spellEnd"/>
      <w:r>
        <w:rPr>
          <w:sz w:val="22"/>
          <w:szCs w:val="22"/>
        </w:rPr>
        <w:t xml:space="preserve"> Pathogen Program and your corresponding laboratory specific Exposure Control Plan.</w:t>
      </w:r>
    </w:p>
    <w:p w:rsidR="001F38A5" w:rsidRPr="007A1B79" w:rsidRDefault="001F38A5" w:rsidP="001F38A5">
      <w:pPr>
        <w:numPr>
          <w:ilvl w:val="0"/>
          <w:numId w:val="1"/>
        </w:numPr>
        <w:tabs>
          <w:tab w:val="clear" w:pos="720"/>
          <w:tab w:val="num" w:pos="360"/>
        </w:tabs>
        <w:ind w:left="360"/>
        <w:rPr>
          <w:sz w:val="22"/>
          <w:szCs w:val="22"/>
        </w:rPr>
      </w:pPr>
      <w:r>
        <w:rPr>
          <w:sz w:val="22"/>
          <w:szCs w:val="22"/>
        </w:rPr>
        <w:t>Adhere to the basic Standard Practices and Precautions outlined below.</w:t>
      </w:r>
    </w:p>
    <w:p w:rsidR="001F38A5" w:rsidRDefault="001F38A5" w:rsidP="001F38A5">
      <w:pPr>
        <w:numPr>
          <w:ilvl w:val="0"/>
          <w:numId w:val="1"/>
        </w:numPr>
        <w:tabs>
          <w:tab w:val="clear" w:pos="720"/>
          <w:tab w:val="num" w:pos="360"/>
        </w:tabs>
        <w:ind w:left="360"/>
        <w:rPr>
          <w:sz w:val="22"/>
          <w:szCs w:val="22"/>
        </w:rPr>
      </w:pPr>
      <w:r w:rsidRPr="007A1B79">
        <w:rPr>
          <w:sz w:val="22"/>
          <w:szCs w:val="22"/>
        </w:rPr>
        <w:t xml:space="preserve">Provide written certification to your laboratory supervisor that you have completed the training </w:t>
      </w:r>
      <w:r>
        <w:rPr>
          <w:sz w:val="22"/>
          <w:szCs w:val="22"/>
        </w:rPr>
        <w:t>outlined by this document</w:t>
      </w:r>
      <w:r w:rsidRPr="007A1B79">
        <w:rPr>
          <w:sz w:val="22"/>
          <w:szCs w:val="22"/>
        </w:rPr>
        <w:t>.</w:t>
      </w:r>
    </w:p>
    <w:p w:rsidR="001F38A5" w:rsidRPr="007A1B79" w:rsidRDefault="001F38A5" w:rsidP="001F38A5">
      <w:pPr>
        <w:rPr>
          <w:sz w:val="22"/>
          <w:szCs w:val="22"/>
        </w:rPr>
      </w:pPr>
    </w:p>
    <w:tbl>
      <w:tblPr>
        <w:tblW w:w="100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90"/>
      </w:tblGrid>
      <w:tr w:rsidR="001F38A5" w:rsidTr="00EF30DA">
        <w:tblPrEx>
          <w:tblCellMar>
            <w:top w:w="0" w:type="dxa"/>
            <w:bottom w:w="0" w:type="dxa"/>
          </w:tblCellMar>
        </w:tblPrEx>
        <w:tc>
          <w:tcPr>
            <w:tcW w:w="2790" w:type="dxa"/>
            <w:tcBorders>
              <w:top w:val="double" w:sz="4" w:space="0" w:color="auto"/>
              <w:bottom w:val="single" w:sz="4" w:space="0" w:color="auto"/>
              <w:right w:val="double" w:sz="4" w:space="0" w:color="auto"/>
            </w:tcBorders>
            <w:vAlign w:val="center"/>
          </w:tcPr>
          <w:p w:rsidR="001F38A5" w:rsidRPr="00C14F60" w:rsidRDefault="001F38A5" w:rsidP="00EF30DA">
            <w:pPr>
              <w:jc w:val="center"/>
              <w:rPr>
                <w:b/>
                <w:sz w:val="18"/>
                <w:szCs w:val="18"/>
              </w:rPr>
            </w:pPr>
          </w:p>
          <w:p w:rsidR="001F38A5" w:rsidRPr="00B14359" w:rsidRDefault="001F38A5" w:rsidP="00EF30DA">
            <w:pPr>
              <w:jc w:val="center"/>
              <w:rPr>
                <w:b/>
                <w:sz w:val="28"/>
                <w:szCs w:val="28"/>
              </w:rPr>
            </w:pPr>
            <w:r w:rsidRPr="00C14F60">
              <w:rPr>
                <w:b/>
                <w:sz w:val="28"/>
                <w:szCs w:val="28"/>
              </w:rPr>
              <w:t>Laboratory Practices</w:t>
            </w:r>
          </w:p>
        </w:tc>
        <w:tc>
          <w:tcPr>
            <w:tcW w:w="7290" w:type="dxa"/>
            <w:tcBorders>
              <w:top w:val="double" w:sz="4" w:space="0" w:color="auto"/>
              <w:left w:val="double" w:sz="4" w:space="0" w:color="auto"/>
              <w:bottom w:val="double" w:sz="4" w:space="0" w:color="auto"/>
            </w:tcBorders>
            <w:vAlign w:val="center"/>
          </w:tcPr>
          <w:p w:rsidR="001F38A5" w:rsidRPr="00C14F60" w:rsidRDefault="001F38A5" w:rsidP="00EF30DA">
            <w:pPr>
              <w:jc w:val="center"/>
              <w:rPr>
                <w:b/>
                <w:sz w:val="18"/>
                <w:szCs w:val="18"/>
              </w:rPr>
            </w:pPr>
          </w:p>
          <w:p w:rsidR="001F38A5" w:rsidRPr="00B14359" w:rsidRDefault="001F38A5" w:rsidP="00EF30DA">
            <w:pPr>
              <w:jc w:val="center"/>
              <w:rPr>
                <w:b/>
                <w:sz w:val="28"/>
                <w:szCs w:val="28"/>
              </w:rPr>
            </w:pPr>
            <w:r w:rsidRPr="00C14F60">
              <w:rPr>
                <w:b/>
                <w:sz w:val="28"/>
                <w:szCs w:val="28"/>
              </w:rPr>
              <w:t xml:space="preserve">UCSC Standard </w:t>
            </w:r>
            <w:r>
              <w:rPr>
                <w:b/>
                <w:sz w:val="28"/>
                <w:szCs w:val="28"/>
              </w:rPr>
              <w:t xml:space="preserve">Practices and </w:t>
            </w:r>
            <w:r w:rsidRPr="00C14F60">
              <w:rPr>
                <w:b/>
                <w:sz w:val="28"/>
                <w:szCs w:val="28"/>
              </w:rPr>
              <w:t>Precautions</w:t>
            </w:r>
          </w:p>
        </w:tc>
      </w:tr>
      <w:tr w:rsidR="001F38A5" w:rsidTr="00EF30DA">
        <w:tblPrEx>
          <w:tblCellMar>
            <w:top w:w="0" w:type="dxa"/>
            <w:bottom w:w="0" w:type="dxa"/>
          </w:tblCellMar>
        </w:tblPrEx>
        <w:tc>
          <w:tcPr>
            <w:tcW w:w="2790" w:type="dxa"/>
            <w:tcBorders>
              <w:top w:val="double" w:sz="4" w:space="0" w:color="auto"/>
              <w:bottom w:val="single" w:sz="4" w:space="0" w:color="auto"/>
              <w:right w:val="double" w:sz="4" w:space="0" w:color="auto"/>
            </w:tcBorders>
            <w:vAlign w:val="center"/>
          </w:tcPr>
          <w:p w:rsidR="001F38A5" w:rsidRPr="00C14F60" w:rsidRDefault="001F38A5" w:rsidP="00EF30DA">
            <w:pPr>
              <w:rPr>
                <w:b/>
                <w:sz w:val="18"/>
                <w:szCs w:val="18"/>
              </w:rPr>
            </w:pPr>
            <w:bookmarkStart w:id="0" w:name="_GoBack"/>
            <w:r w:rsidRPr="007A1B79">
              <w:rPr>
                <w:rFonts w:ascii="Wingdings" w:hAnsi="Wingdings"/>
                <w:sz w:val="22"/>
                <w:szCs w:val="22"/>
              </w:rPr>
              <w:t></w:t>
            </w:r>
            <w:r w:rsidRPr="007A1B79">
              <w:rPr>
                <w:sz w:val="22"/>
                <w:szCs w:val="22"/>
              </w:rPr>
              <w:t xml:space="preserve"> </w:t>
            </w:r>
            <w:r>
              <w:rPr>
                <w:sz w:val="22"/>
                <w:szCs w:val="22"/>
              </w:rPr>
              <w:t>Exposure Control Plan</w:t>
            </w:r>
          </w:p>
        </w:tc>
        <w:tc>
          <w:tcPr>
            <w:tcW w:w="7290" w:type="dxa"/>
            <w:tcBorders>
              <w:top w:val="double" w:sz="4" w:space="0" w:color="auto"/>
              <w:left w:val="double" w:sz="4" w:space="0" w:color="auto"/>
            </w:tcBorders>
            <w:vAlign w:val="center"/>
          </w:tcPr>
          <w:p w:rsidR="001F38A5" w:rsidRPr="00B14359" w:rsidRDefault="001F38A5" w:rsidP="00EF30DA">
            <w:pPr>
              <w:rPr>
                <w:sz w:val="22"/>
                <w:szCs w:val="22"/>
              </w:rPr>
            </w:pPr>
            <w:r w:rsidRPr="00B14359">
              <w:rPr>
                <w:sz w:val="22"/>
                <w:szCs w:val="22"/>
              </w:rPr>
              <w:t>Per</w:t>
            </w:r>
            <w:r>
              <w:rPr>
                <w:sz w:val="22"/>
                <w:szCs w:val="22"/>
              </w:rPr>
              <w:t xml:space="preserve">form work in compliance with the Cal-OSHA </w:t>
            </w:r>
            <w:proofErr w:type="spellStart"/>
            <w:r>
              <w:rPr>
                <w:sz w:val="22"/>
                <w:szCs w:val="22"/>
              </w:rPr>
              <w:t>Bloodborne</w:t>
            </w:r>
            <w:proofErr w:type="spellEnd"/>
            <w:r>
              <w:rPr>
                <w:sz w:val="22"/>
                <w:szCs w:val="22"/>
              </w:rPr>
              <w:t xml:space="preserve"> Pathogens Standard and your lab specific Exposure Control Plan.</w:t>
            </w:r>
          </w:p>
        </w:tc>
      </w:tr>
      <w:bookmarkEnd w:id="0"/>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sz w:val="22"/>
                <w:szCs w:val="22"/>
              </w:rPr>
            </w:pPr>
            <w:r w:rsidRPr="007A1B79">
              <w:rPr>
                <w:rFonts w:ascii="Wingdings" w:hAnsi="Wingdings"/>
                <w:sz w:val="22"/>
                <w:szCs w:val="22"/>
              </w:rPr>
              <w:t></w:t>
            </w:r>
            <w:r w:rsidRPr="007A1B79">
              <w:rPr>
                <w:sz w:val="22"/>
                <w:szCs w:val="22"/>
              </w:rPr>
              <w:t xml:space="preserve"> Handwashing</w:t>
            </w:r>
          </w:p>
        </w:tc>
        <w:tc>
          <w:tcPr>
            <w:tcW w:w="7290" w:type="dxa"/>
            <w:tcBorders>
              <w:left w:val="double" w:sz="4" w:space="0" w:color="auto"/>
            </w:tcBorders>
          </w:tcPr>
          <w:p w:rsidR="001F38A5" w:rsidRPr="007A1B79" w:rsidRDefault="001F38A5" w:rsidP="00EF30DA">
            <w:pPr>
              <w:rPr>
                <w:sz w:val="22"/>
                <w:szCs w:val="22"/>
              </w:rPr>
            </w:pPr>
            <w:smartTag w:uri="urn:schemas-microsoft-com:office:smarttags" w:element="State">
              <w:smartTag w:uri="urn:schemas-microsoft-com:office:smarttags" w:element="place">
                <w:r>
                  <w:rPr>
                    <w:sz w:val="22"/>
                    <w:szCs w:val="22"/>
                  </w:rPr>
                  <w:t>Wash</w:t>
                </w:r>
              </w:smartTag>
            </w:smartTag>
            <w:r>
              <w:rPr>
                <w:sz w:val="22"/>
                <w:szCs w:val="22"/>
              </w:rPr>
              <w:t xml:space="preserve"> h</w:t>
            </w:r>
            <w:r w:rsidRPr="007A1B79">
              <w:rPr>
                <w:sz w:val="22"/>
                <w:szCs w:val="22"/>
              </w:rPr>
              <w:t>ands immediately or as soon as feasible after removing gloves or other personal protective clothing.</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ind w:left="270" w:hanging="270"/>
              <w:rPr>
                <w:b/>
                <w:sz w:val="22"/>
                <w:szCs w:val="22"/>
              </w:rPr>
            </w:pPr>
            <w:r w:rsidRPr="007A1B79">
              <w:rPr>
                <w:rFonts w:ascii="Wingdings" w:hAnsi="Wingdings"/>
                <w:sz w:val="22"/>
                <w:szCs w:val="22"/>
              </w:rPr>
              <w:t></w:t>
            </w:r>
            <w:r w:rsidRPr="007A1B79">
              <w:rPr>
                <w:sz w:val="22"/>
                <w:szCs w:val="22"/>
              </w:rPr>
              <w:t xml:space="preserve"> Personal Protective Equipment (PPE)</w:t>
            </w:r>
          </w:p>
        </w:tc>
        <w:tc>
          <w:tcPr>
            <w:tcW w:w="7290" w:type="dxa"/>
            <w:tcBorders>
              <w:left w:val="double" w:sz="4" w:space="0" w:color="auto"/>
            </w:tcBorders>
          </w:tcPr>
          <w:p w:rsidR="001F38A5" w:rsidRPr="007A1B79" w:rsidRDefault="001F38A5" w:rsidP="00EF30DA">
            <w:pPr>
              <w:rPr>
                <w:sz w:val="22"/>
                <w:szCs w:val="22"/>
              </w:rPr>
            </w:pPr>
            <w:r>
              <w:rPr>
                <w:sz w:val="22"/>
                <w:szCs w:val="22"/>
              </w:rPr>
              <w:t xml:space="preserve">Wear </w:t>
            </w:r>
            <w:r w:rsidRPr="007A1B79">
              <w:rPr>
                <w:sz w:val="22"/>
                <w:szCs w:val="22"/>
              </w:rPr>
              <w:t>PPE such as gloves, safety glasses and laboratory coats whenever biological work is conducted in the laboratory. No open toed shoes such as sandals are allowed in the lab.</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b/>
                <w:sz w:val="22"/>
                <w:szCs w:val="22"/>
              </w:rPr>
            </w:pPr>
            <w:r w:rsidRPr="007A1B79">
              <w:rPr>
                <w:rFonts w:ascii="Wingdings" w:hAnsi="Wingdings"/>
                <w:sz w:val="22"/>
                <w:szCs w:val="22"/>
              </w:rPr>
              <w:t></w:t>
            </w:r>
            <w:r w:rsidRPr="007A1B79">
              <w:rPr>
                <w:sz w:val="22"/>
                <w:szCs w:val="22"/>
              </w:rPr>
              <w:t xml:space="preserve"> Use of Sharps</w:t>
            </w:r>
          </w:p>
        </w:tc>
        <w:tc>
          <w:tcPr>
            <w:tcW w:w="7290" w:type="dxa"/>
            <w:tcBorders>
              <w:left w:val="double" w:sz="4" w:space="0" w:color="auto"/>
            </w:tcBorders>
          </w:tcPr>
          <w:p w:rsidR="001F38A5" w:rsidRPr="007A1B79" w:rsidRDefault="001F38A5" w:rsidP="00EF30DA">
            <w:pPr>
              <w:rPr>
                <w:sz w:val="22"/>
                <w:szCs w:val="22"/>
              </w:rPr>
            </w:pPr>
            <w:r w:rsidRPr="007A1B79">
              <w:rPr>
                <w:sz w:val="22"/>
                <w:szCs w:val="22"/>
              </w:rPr>
              <w:t>Never recap, bend or shear needles. Sharps containers are readily available in all locations where sharps waste may be generated. Sharps usage is minimized by replacing glassware with less damaging materials such as plastic.</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b/>
                <w:sz w:val="22"/>
                <w:szCs w:val="22"/>
              </w:rPr>
            </w:pPr>
            <w:r w:rsidRPr="007A1B79">
              <w:rPr>
                <w:rFonts w:ascii="Wingdings" w:hAnsi="Wingdings"/>
                <w:sz w:val="22"/>
                <w:szCs w:val="22"/>
              </w:rPr>
              <w:t></w:t>
            </w:r>
            <w:r w:rsidRPr="007A1B79">
              <w:rPr>
                <w:sz w:val="22"/>
                <w:szCs w:val="22"/>
              </w:rPr>
              <w:t xml:space="preserve"> </w:t>
            </w:r>
            <w:r>
              <w:rPr>
                <w:sz w:val="22"/>
                <w:szCs w:val="22"/>
              </w:rPr>
              <w:t>Personal Hygiene</w:t>
            </w:r>
          </w:p>
        </w:tc>
        <w:tc>
          <w:tcPr>
            <w:tcW w:w="7290" w:type="dxa"/>
            <w:tcBorders>
              <w:left w:val="double" w:sz="4" w:space="0" w:color="auto"/>
            </w:tcBorders>
          </w:tcPr>
          <w:p w:rsidR="001F38A5" w:rsidRPr="007A1B79" w:rsidRDefault="001F38A5" w:rsidP="00EF30DA">
            <w:pPr>
              <w:rPr>
                <w:sz w:val="22"/>
                <w:szCs w:val="22"/>
              </w:rPr>
            </w:pPr>
            <w:r>
              <w:rPr>
                <w:sz w:val="22"/>
                <w:szCs w:val="22"/>
              </w:rPr>
              <w:t>Do not eat, drink, apply cosmetics, lip balm or handle contact lenses</w:t>
            </w:r>
            <w:r w:rsidRPr="007A1B79">
              <w:rPr>
                <w:sz w:val="22"/>
                <w:szCs w:val="22"/>
              </w:rPr>
              <w:t xml:space="preserve"> in laboratories covered by this application is prohibited.</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b/>
                <w:sz w:val="22"/>
                <w:szCs w:val="22"/>
              </w:rPr>
            </w:pPr>
            <w:r w:rsidRPr="007A1B79">
              <w:rPr>
                <w:rFonts w:ascii="Wingdings" w:hAnsi="Wingdings"/>
                <w:sz w:val="22"/>
                <w:szCs w:val="22"/>
              </w:rPr>
              <w:t></w:t>
            </w:r>
            <w:r w:rsidRPr="007A1B79">
              <w:rPr>
                <w:sz w:val="22"/>
                <w:szCs w:val="22"/>
              </w:rPr>
              <w:t xml:space="preserve"> Aerosol Generation</w:t>
            </w:r>
          </w:p>
        </w:tc>
        <w:tc>
          <w:tcPr>
            <w:tcW w:w="7290" w:type="dxa"/>
            <w:tcBorders>
              <w:left w:val="double" w:sz="4" w:space="0" w:color="auto"/>
            </w:tcBorders>
          </w:tcPr>
          <w:p w:rsidR="001F38A5" w:rsidRPr="007A1B79" w:rsidRDefault="001F38A5" w:rsidP="00EF30DA">
            <w:pPr>
              <w:rPr>
                <w:sz w:val="22"/>
                <w:szCs w:val="22"/>
              </w:rPr>
            </w:pPr>
            <w:r>
              <w:rPr>
                <w:sz w:val="22"/>
                <w:szCs w:val="22"/>
              </w:rPr>
              <w:t>Perform a</w:t>
            </w:r>
            <w:r w:rsidRPr="007A1B79">
              <w:rPr>
                <w:sz w:val="22"/>
                <w:szCs w:val="22"/>
              </w:rPr>
              <w:t>ny procedures that could potentially generate aerosols or other inhalation hazards in a manner that will minimize airborne pathogen transmission.</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b/>
                <w:sz w:val="22"/>
                <w:szCs w:val="22"/>
              </w:rPr>
            </w:pPr>
            <w:r w:rsidRPr="007A1B79">
              <w:rPr>
                <w:rFonts w:ascii="Wingdings" w:hAnsi="Wingdings"/>
                <w:sz w:val="22"/>
                <w:szCs w:val="22"/>
              </w:rPr>
              <w:t></w:t>
            </w:r>
            <w:r w:rsidRPr="007A1B79">
              <w:rPr>
                <w:sz w:val="22"/>
                <w:szCs w:val="22"/>
              </w:rPr>
              <w:t xml:space="preserve"> Transportation</w:t>
            </w:r>
          </w:p>
        </w:tc>
        <w:tc>
          <w:tcPr>
            <w:tcW w:w="7290" w:type="dxa"/>
            <w:tcBorders>
              <w:left w:val="double" w:sz="4" w:space="0" w:color="auto"/>
            </w:tcBorders>
          </w:tcPr>
          <w:p w:rsidR="001F38A5" w:rsidRPr="007A1B79" w:rsidRDefault="001F38A5" w:rsidP="00EF30DA">
            <w:pPr>
              <w:rPr>
                <w:sz w:val="22"/>
                <w:szCs w:val="22"/>
              </w:rPr>
            </w:pPr>
            <w:r>
              <w:rPr>
                <w:sz w:val="22"/>
                <w:szCs w:val="22"/>
              </w:rPr>
              <w:t>Place s</w:t>
            </w:r>
            <w:r w:rsidRPr="007A1B79">
              <w:rPr>
                <w:sz w:val="22"/>
                <w:szCs w:val="22"/>
              </w:rPr>
              <w:t xml:space="preserve">pecimens of </w:t>
            </w:r>
            <w:r>
              <w:rPr>
                <w:sz w:val="22"/>
                <w:szCs w:val="22"/>
              </w:rPr>
              <w:t xml:space="preserve">infectious agents, </w:t>
            </w:r>
            <w:r w:rsidRPr="007A1B79">
              <w:rPr>
                <w:sz w:val="22"/>
                <w:szCs w:val="22"/>
              </w:rPr>
              <w:t>blood or other potentially infectious materials inside a leak-proof, unbreakable container during handling, processing, storage, transport or shipping.</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b/>
                <w:sz w:val="22"/>
                <w:szCs w:val="22"/>
              </w:rPr>
            </w:pPr>
            <w:r w:rsidRPr="007A1B79">
              <w:rPr>
                <w:rFonts w:ascii="Wingdings" w:hAnsi="Wingdings"/>
                <w:sz w:val="22"/>
                <w:szCs w:val="22"/>
              </w:rPr>
              <w:t></w:t>
            </w:r>
            <w:r w:rsidRPr="007A1B79">
              <w:rPr>
                <w:sz w:val="22"/>
                <w:szCs w:val="22"/>
              </w:rPr>
              <w:t xml:space="preserve"> Labeling</w:t>
            </w:r>
          </w:p>
        </w:tc>
        <w:tc>
          <w:tcPr>
            <w:tcW w:w="7290" w:type="dxa"/>
            <w:tcBorders>
              <w:left w:val="double" w:sz="4" w:space="0" w:color="auto"/>
            </w:tcBorders>
          </w:tcPr>
          <w:p w:rsidR="001F38A5" w:rsidRPr="007A1B79" w:rsidRDefault="001F38A5" w:rsidP="00EF30DA">
            <w:pPr>
              <w:rPr>
                <w:sz w:val="22"/>
                <w:szCs w:val="22"/>
              </w:rPr>
            </w:pPr>
            <w:r>
              <w:rPr>
                <w:sz w:val="22"/>
                <w:szCs w:val="22"/>
              </w:rPr>
              <w:t>Place c</w:t>
            </w:r>
            <w:r w:rsidRPr="007A1B79">
              <w:rPr>
                <w:sz w:val="22"/>
                <w:szCs w:val="22"/>
              </w:rPr>
              <w:t>olor coded universal biohazard label on any potentially contaminated equipment or work surface to warn others of biohazard contamination. This includes freezers, refrigerators, incubators, waste containers etc.</w:t>
            </w:r>
          </w:p>
        </w:tc>
      </w:tr>
      <w:tr w:rsidR="001F38A5" w:rsidTr="00EF30DA">
        <w:tblPrEx>
          <w:tblCellMar>
            <w:top w:w="0" w:type="dxa"/>
            <w:bottom w:w="0" w:type="dxa"/>
          </w:tblCellMar>
        </w:tblPrEx>
        <w:tc>
          <w:tcPr>
            <w:tcW w:w="2790" w:type="dxa"/>
            <w:tcBorders>
              <w:top w:val="single" w:sz="4" w:space="0" w:color="auto"/>
              <w:bottom w:val="single" w:sz="4" w:space="0" w:color="auto"/>
              <w:right w:val="double" w:sz="4" w:space="0" w:color="auto"/>
            </w:tcBorders>
            <w:vAlign w:val="center"/>
          </w:tcPr>
          <w:p w:rsidR="001F38A5" w:rsidRPr="007A1B79" w:rsidRDefault="001F38A5" w:rsidP="00EF30DA">
            <w:pPr>
              <w:rPr>
                <w:sz w:val="22"/>
                <w:szCs w:val="22"/>
              </w:rPr>
            </w:pPr>
            <w:r w:rsidRPr="007A1B79">
              <w:rPr>
                <w:rFonts w:ascii="Wingdings" w:hAnsi="Wingdings"/>
                <w:sz w:val="22"/>
                <w:szCs w:val="22"/>
              </w:rPr>
              <w:t></w:t>
            </w:r>
            <w:r>
              <w:rPr>
                <w:sz w:val="22"/>
                <w:szCs w:val="22"/>
              </w:rPr>
              <w:t xml:space="preserve"> </w:t>
            </w:r>
            <w:r w:rsidRPr="007A1B79">
              <w:rPr>
                <w:sz w:val="22"/>
                <w:szCs w:val="22"/>
              </w:rPr>
              <w:t>Waste Management</w:t>
            </w:r>
          </w:p>
        </w:tc>
        <w:tc>
          <w:tcPr>
            <w:tcW w:w="7290" w:type="dxa"/>
            <w:tcBorders>
              <w:left w:val="double" w:sz="4" w:space="0" w:color="auto"/>
            </w:tcBorders>
          </w:tcPr>
          <w:p w:rsidR="001F38A5" w:rsidRPr="007A1B79" w:rsidRDefault="001F38A5" w:rsidP="00EF30DA">
            <w:pPr>
              <w:rPr>
                <w:sz w:val="22"/>
                <w:szCs w:val="22"/>
              </w:rPr>
            </w:pPr>
            <w:r>
              <w:rPr>
                <w:sz w:val="22"/>
                <w:szCs w:val="22"/>
              </w:rPr>
              <w:t>Review p</w:t>
            </w:r>
            <w:r w:rsidRPr="007A1B79">
              <w:rPr>
                <w:sz w:val="22"/>
                <w:szCs w:val="22"/>
              </w:rPr>
              <w:t xml:space="preserve">rocedures for managing biohazardous wastes to all project personnel and </w:t>
            </w:r>
            <w:r>
              <w:rPr>
                <w:sz w:val="22"/>
                <w:szCs w:val="22"/>
              </w:rPr>
              <w:t xml:space="preserve">arrange </w:t>
            </w:r>
            <w:r w:rsidRPr="007A1B79">
              <w:rPr>
                <w:sz w:val="22"/>
                <w:szCs w:val="22"/>
              </w:rPr>
              <w:t>final disposal through campus Environmental Health and Safety.</w:t>
            </w:r>
          </w:p>
        </w:tc>
      </w:tr>
      <w:tr w:rsidR="001F38A5" w:rsidTr="00EF30DA">
        <w:tblPrEx>
          <w:tblCellMar>
            <w:top w:w="0" w:type="dxa"/>
            <w:bottom w:w="0" w:type="dxa"/>
          </w:tblCellMar>
        </w:tblPrEx>
        <w:trPr>
          <w:trHeight w:val="530"/>
        </w:trPr>
        <w:tc>
          <w:tcPr>
            <w:tcW w:w="2790" w:type="dxa"/>
            <w:tcBorders>
              <w:top w:val="single" w:sz="4" w:space="0" w:color="auto"/>
              <w:bottom w:val="double" w:sz="4" w:space="0" w:color="auto"/>
              <w:right w:val="double" w:sz="4" w:space="0" w:color="auto"/>
            </w:tcBorders>
            <w:vAlign w:val="center"/>
          </w:tcPr>
          <w:p w:rsidR="001F38A5" w:rsidRPr="007A1B79" w:rsidRDefault="001F38A5" w:rsidP="00EF30DA">
            <w:pPr>
              <w:rPr>
                <w:b/>
                <w:sz w:val="22"/>
                <w:szCs w:val="22"/>
              </w:rPr>
            </w:pPr>
            <w:r w:rsidRPr="007A1B79">
              <w:rPr>
                <w:rFonts w:ascii="Wingdings" w:hAnsi="Wingdings"/>
                <w:sz w:val="22"/>
                <w:szCs w:val="22"/>
              </w:rPr>
              <w:t></w:t>
            </w:r>
            <w:r w:rsidRPr="007A1B79">
              <w:rPr>
                <w:sz w:val="22"/>
                <w:szCs w:val="22"/>
              </w:rPr>
              <w:t xml:space="preserve"> Spill Procedures</w:t>
            </w:r>
          </w:p>
        </w:tc>
        <w:tc>
          <w:tcPr>
            <w:tcW w:w="7290" w:type="dxa"/>
            <w:tcBorders>
              <w:left w:val="double" w:sz="4" w:space="0" w:color="auto"/>
            </w:tcBorders>
          </w:tcPr>
          <w:p w:rsidR="001F38A5" w:rsidRPr="007A1B79" w:rsidRDefault="001F38A5" w:rsidP="00EF30DA">
            <w:pPr>
              <w:rPr>
                <w:sz w:val="22"/>
                <w:szCs w:val="22"/>
              </w:rPr>
            </w:pPr>
            <w:r>
              <w:rPr>
                <w:sz w:val="22"/>
                <w:szCs w:val="22"/>
              </w:rPr>
              <w:t>Contact EH&amp;S for assistance. Clean up s</w:t>
            </w:r>
            <w:r w:rsidRPr="007A1B79">
              <w:rPr>
                <w:sz w:val="22"/>
                <w:szCs w:val="22"/>
              </w:rPr>
              <w:t xml:space="preserve">pills promptly by using best practices i.e. clean spills from the periphery of the spill towards the center. </w:t>
            </w:r>
            <w:r>
              <w:rPr>
                <w:sz w:val="22"/>
                <w:szCs w:val="22"/>
              </w:rPr>
              <w:t>Dispose of w</w:t>
            </w:r>
            <w:r w:rsidRPr="007A1B79">
              <w:rPr>
                <w:sz w:val="22"/>
                <w:szCs w:val="22"/>
              </w:rPr>
              <w:t>aste and cleaning materials properly.</w:t>
            </w:r>
          </w:p>
        </w:tc>
      </w:tr>
    </w:tbl>
    <w:p w:rsidR="001F38A5" w:rsidRDefault="001F38A5" w:rsidP="001F38A5">
      <w:pPr>
        <w:jc w:val="center"/>
      </w:pPr>
    </w:p>
    <w:p w:rsidR="001F38A5" w:rsidRPr="004364F2" w:rsidRDefault="001F38A5" w:rsidP="001F38A5">
      <w:pPr>
        <w:rPr>
          <w:sz w:val="24"/>
          <w:szCs w:val="24"/>
        </w:rPr>
      </w:pPr>
      <w:r w:rsidRPr="004364F2">
        <w:rPr>
          <w:sz w:val="24"/>
          <w:szCs w:val="24"/>
        </w:rPr>
        <w:t>I certify I have been provided with and understand the information reviewed in this hand out. I understand I am responsible for adhering to all safety laws, rules, and regulations while working at UCSC.</w:t>
      </w:r>
    </w:p>
    <w:p w:rsidR="001F38A5" w:rsidRPr="004364F2" w:rsidRDefault="001F38A5" w:rsidP="001F38A5">
      <w:pPr>
        <w:rPr>
          <w:sz w:val="24"/>
          <w:szCs w:val="24"/>
        </w:rPr>
      </w:pPr>
    </w:p>
    <w:p w:rsidR="001F38A5" w:rsidRPr="004364F2" w:rsidRDefault="001F38A5" w:rsidP="001F38A5">
      <w:pPr>
        <w:tabs>
          <w:tab w:val="left" w:pos="3330"/>
          <w:tab w:val="left" w:pos="4140"/>
          <w:tab w:val="left" w:pos="7200"/>
          <w:tab w:val="left" w:pos="7920"/>
          <w:tab w:val="left" w:pos="9540"/>
        </w:tabs>
        <w:rPr>
          <w:sz w:val="24"/>
          <w:szCs w:val="24"/>
          <w:u w:val="single"/>
        </w:rPr>
      </w:pPr>
      <w:r w:rsidRPr="004364F2">
        <w:rPr>
          <w:sz w:val="24"/>
          <w:szCs w:val="24"/>
          <w:u w:val="single"/>
        </w:rPr>
        <w:tab/>
      </w:r>
      <w:r w:rsidRPr="004364F2">
        <w:rPr>
          <w:sz w:val="24"/>
          <w:szCs w:val="24"/>
        </w:rPr>
        <w:tab/>
      </w:r>
      <w:r w:rsidRPr="004364F2">
        <w:rPr>
          <w:sz w:val="24"/>
          <w:szCs w:val="24"/>
          <w:u w:val="single"/>
        </w:rPr>
        <w:tab/>
      </w:r>
      <w:r w:rsidRPr="004364F2">
        <w:rPr>
          <w:sz w:val="24"/>
          <w:szCs w:val="24"/>
        </w:rPr>
        <w:tab/>
      </w:r>
      <w:r w:rsidRPr="004364F2">
        <w:rPr>
          <w:sz w:val="24"/>
          <w:szCs w:val="24"/>
          <w:u w:val="single"/>
        </w:rPr>
        <w:tab/>
      </w:r>
    </w:p>
    <w:p w:rsidR="001F38A5" w:rsidRPr="004364F2" w:rsidRDefault="001F38A5" w:rsidP="001F38A5">
      <w:pPr>
        <w:tabs>
          <w:tab w:val="left" w:pos="3330"/>
          <w:tab w:val="left" w:pos="4140"/>
          <w:tab w:val="left" w:pos="7200"/>
          <w:tab w:val="left" w:pos="7920"/>
          <w:tab w:val="left" w:pos="9540"/>
        </w:tabs>
        <w:rPr>
          <w:sz w:val="24"/>
          <w:szCs w:val="24"/>
        </w:rPr>
      </w:pPr>
      <w:r w:rsidRPr="004364F2">
        <w:rPr>
          <w:sz w:val="24"/>
          <w:szCs w:val="24"/>
        </w:rPr>
        <w:t>Print Name</w:t>
      </w:r>
      <w:r w:rsidRPr="004364F2">
        <w:rPr>
          <w:sz w:val="24"/>
          <w:szCs w:val="24"/>
        </w:rPr>
        <w:tab/>
      </w:r>
      <w:r w:rsidRPr="004364F2">
        <w:rPr>
          <w:sz w:val="24"/>
          <w:szCs w:val="24"/>
        </w:rPr>
        <w:tab/>
        <w:t>Signature</w:t>
      </w:r>
      <w:r w:rsidRPr="004364F2">
        <w:rPr>
          <w:sz w:val="24"/>
          <w:szCs w:val="24"/>
        </w:rPr>
        <w:tab/>
      </w:r>
      <w:r w:rsidRPr="004364F2">
        <w:rPr>
          <w:sz w:val="24"/>
          <w:szCs w:val="24"/>
        </w:rPr>
        <w:tab/>
        <w:t>Date</w:t>
      </w:r>
    </w:p>
    <w:sectPr w:rsidR="001F38A5" w:rsidRPr="004364F2" w:rsidSect="003C366D">
      <w:headerReference w:type="default" r:id="rId6"/>
      <w:footerReference w:type="default" r:id="rId7"/>
      <w:pgSz w:w="12240" w:h="15840"/>
      <w:pgMar w:top="1008" w:right="144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AF" w:rsidRPr="004D2C3F" w:rsidRDefault="00EB41C9" w:rsidP="00F956AA">
    <w:pPr>
      <w:pStyle w:val="Footer"/>
      <w:tabs>
        <w:tab w:val="clear" w:pos="8640"/>
        <w:tab w:val="right" w:pos="9360"/>
      </w:tabs>
      <w:rPr>
        <w:sz w:val="12"/>
        <w:szCs w:val="12"/>
      </w:rPr>
    </w:pPr>
    <w:r w:rsidRPr="004D2C3F">
      <w:rPr>
        <w:rFonts w:ascii="Arial" w:hAnsi="Arial"/>
        <w:sz w:val="12"/>
        <w:szCs w:val="12"/>
      </w:rPr>
      <w:t>Bio Worker EH&amp;S Form</w:t>
    </w:r>
    <w:r w:rsidRPr="004D2C3F">
      <w:rPr>
        <w:rFonts w:ascii="Arial" w:hAnsi="Arial"/>
        <w:sz w:val="12"/>
        <w:szCs w:val="12"/>
      </w:rPr>
      <w:tab/>
    </w:r>
    <w:r w:rsidRPr="004D2C3F">
      <w:rPr>
        <w:rFonts w:ascii="Arial" w:hAnsi="Arial"/>
        <w:sz w:val="12"/>
        <w:szCs w:val="12"/>
      </w:rPr>
      <w:tab/>
      <w:t>01/05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AF" w:rsidRPr="00F956AA" w:rsidRDefault="00EB41C9" w:rsidP="007012F6">
    <w:pPr>
      <w:pStyle w:val="Heading1"/>
      <w:rPr>
        <w:rFonts w:ascii="Arial" w:hAnsi="Arial" w:cs="Arial"/>
        <w:u w:val="none"/>
      </w:rPr>
    </w:pPr>
    <w:r w:rsidRPr="00F956AA">
      <w:rPr>
        <w:rFonts w:ascii="Arial" w:hAnsi="Arial" w:cs="Arial"/>
        <w:u w:val="none"/>
      </w:rPr>
      <w:t xml:space="preserve">UC </w:t>
    </w:r>
    <w:smartTag w:uri="urn:schemas-microsoft-com:office:smarttags" w:element="City">
      <w:smartTag w:uri="urn:schemas-microsoft-com:office:smarttags" w:element="place">
        <w:r w:rsidRPr="00F956AA">
          <w:rPr>
            <w:rFonts w:ascii="Arial" w:hAnsi="Arial" w:cs="Arial"/>
            <w:u w:val="none"/>
          </w:rPr>
          <w:t>Santa Cruz</w:t>
        </w:r>
      </w:smartTag>
    </w:smartTag>
    <w:r w:rsidRPr="00F956AA">
      <w:rPr>
        <w:rFonts w:ascii="Arial" w:hAnsi="Arial" w:cs="Arial"/>
        <w:u w:val="none"/>
      </w:rPr>
      <w:t xml:space="preserve"> Environmental Health &amp; Safety</w:t>
    </w:r>
  </w:p>
  <w:p w:rsidR="000245AF" w:rsidRDefault="001F38A5" w:rsidP="007012F6">
    <w:pPr>
      <w:pStyle w:val="Header"/>
    </w:pPr>
    <w:r>
      <w:rPr>
        <w:rFonts w:ascii="Palatino" w:hAnsi="Palatino"/>
        <w:noProof/>
      </w:rPr>
      <mc:AlternateContent>
        <mc:Choice Requires="wps">
          <w:drawing>
            <wp:anchor distT="0" distB="0" distL="114300" distR="114300" simplePos="0" relativeHeight="251659264" behindDoc="0" locked="0" layoutInCell="0" allowOverlap="1" wp14:anchorId="49BF5403" wp14:editId="4C06C970">
              <wp:simplePos x="0" y="0"/>
              <wp:positionH relativeFrom="column">
                <wp:posOffset>-62865</wp:posOffset>
              </wp:positionH>
              <wp:positionV relativeFrom="paragraph">
                <wp:posOffset>47625</wp:posOffset>
              </wp:positionV>
              <wp:extent cx="37490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5pt" to="29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" o:allowincell="f" strokecolor="teal"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39E3"/>
    <w:multiLevelType w:val="hybridMultilevel"/>
    <w:tmpl w:val="F6F00C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A5"/>
    <w:rsid w:val="0000114D"/>
    <w:rsid w:val="00004B07"/>
    <w:rsid w:val="000055FB"/>
    <w:rsid w:val="00010F1F"/>
    <w:rsid w:val="00015C9C"/>
    <w:rsid w:val="000161D9"/>
    <w:rsid w:val="00017B2C"/>
    <w:rsid w:val="00022D61"/>
    <w:rsid w:val="00023A6D"/>
    <w:rsid w:val="00024623"/>
    <w:rsid w:val="0004155C"/>
    <w:rsid w:val="00041859"/>
    <w:rsid w:val="00042809"/>
    <w:rsid w:val="00046945"/>
    <w:rsid w:val="00046E85"/>
    <w:rsid w:val="000526A9"/>
    <w:rsid w:val="00053D90"/>
    <w:rsid w:val="00053E0F"/>
    <w:rsid w:val="00056783"/>
    <w:rsid w:val="0006139F"/>
    <w:rsid w:val="00062F61"/>
    <w:rsid w:val="000638D2"/>
    <w:rsid w:val="0008074B"/>
    <w:rsid w:val="00083125"/>
    <w:rsid w:val="0008666E"/>
    <w:rsid w:val="00086978"/>
    <w:rsid w:val="0008770A"/>
    <w:rsid w:val="00091CA0"/>
    <w:rsid w:val="000A123F"/>
    <w:rsid w:val="000A3EF1"/>
    <w:rsid w:val="000A436B"/>
    <w:rsid w:val="000B2552"/>
    <w:rsid w:val="000B35AE"/>
    <w:rsid w:val="000B4E34"/>
    <w:rsid w:val="000B663B"/>
    <w:rsid w:val="000D0A23"/>
    <w:rsid w:val="000D3D44"/>
    <w:rsid w:val="000D44D8"/>
    <w:rsid w:val="000E08E5"/>
    <w:rsid w:val="000E3D21"/>
    <w:rsid w:val="000F2F5F"/>
    <w:rsid w:val="00110301"/>
    <w:rsid w:val="00127FC5"/>
    <w:rsid w:val="0013249E"/>
    <w:rsid w:val="00135393"/>
    <w:rsid w:val="00135828"/>
    <w:rsid w:val="00136F9F"/>
    <w:rsid w:val="00140B01"/>
    <w:rsid w:val="001412A2"/>
    <w:rsid w:val="0014476C"/>
    <w:rsid w:val="001539EB"/>
    <w:rsid w:val="00163651"/>
    <w:rsid w:val="00167491"/>
    <w:rsid w:val="0017371C"/>
    <w:rsid w:val="00175249"/>
    <w:rsid w:val="00182605"/>
    <w:rsid w:val="001826EE"/>
    <w:rsid w:val="00187BF9"/>
    <w:rsid w:val="00187FE8"/>
    <w:rsid w:val="00192823"/>
    <w:rsid w:val="00194FB5"/>
    <w:rsid w:val="001A1529"/>
    <w:rsid w:val="001A6051"/>
    <w:rsid w:val="001A6AD8"/>
    <w:rsid w:val="001B5E5B"/>
    <w:rsid w:val="001B7F6D"/>
    <w:rsid w:val="001C4748"/>
    <w:rsid w:val="001C5BB9"/>
    <w:rsid w:val="001C6BF2"/>
    <w:rsid w:val="001D1CE1"/>
    <w:rsid w:val="001F287A"/>
    <w:rsid w:val="001F2FA5"/>
    <w:rsid w:val="001F38A5"/>
    <w:rsid w:val="0020185B"/>
    <w:rsid w:val="00201DE7"/>
    <w:rsid w:val="002043EC"/>
    <w:rsid w:val="00232A90"/>
    <w:rsid w:val="00245B80"/>
    <w:rsid w:val="002468D0"/>
    <w:rsid w:val="0025744F"/>
    <w:rsid w:val="0027120D"/>
    <w:rsid w:val="002773BA"/>
    <w:rsid w:val="00283398"/>
    <w:rsid w:val="002833E8"/>
    <w:rsid w:val="00287BCD"/>
    <w:rsid w:val="0029454D"/>
    <w:rsid w:val="00295135"/>
    <w:rsid w:val="002968FB"/>
    <w:rsid w:val="002A00E6"/>
    <w:rsid w:val="002A0C8C"/>
    <w:rsid w:val="002A2AEF"/>
    <w:rsid w:val="002B3AFD"/>
    <w:rsid w:val="002B4964"/>
    <w:rsid w:val="002B4F85"/>
    <w:rsid w:val="002C0321"/>
    <w:rsid w:val="002C16BF"/>
    <w:rsid w:val="002C5BA8"/>
    <w:rsid w:val="002C620A"/>
    <w:rsid w:val="002C7E79"/>
    <w:rsid w:val="002F65DC"/>
    <w:rsid w:val="002F7058"/>
    <w:rsid w:val="002F7A60"/>
    <w:rsid w:val="003106A7"/>
    <w:rsid w:val="00314323"/>
    <w:rsid w:val="00323B2D"/>
    <w:rsid w:val="00324B7A"/>
    <w:rsid w:val="00330625"/>
    <w:rsid w:val="003361D8"/>
    <w:rsid w:val="00336FB5"/>
    <w:rsid w:val="00341FBD"/>
    <w:rsid w:val="0034608B"/>
    <w:rsid w:val="003469B7"/>
    <w:rsid w:val="00361AAA"/>
    <w:rsid w:val="00366B3C"/>
    <w:rsid w:val="00366C8E"/>
    <w:rsid w:val="0037456E"/>
    <w:rsid w:val="003903B0"/>
    <w:rsid w:val="003929AD"/>
    <w:rsid w:val="00393821"/>
    <w:rsid w:val="00393B8B"/>
    <w:rsid w:val="0039498E"/>
    <w:rsid w:val="0039601C"/>
    <w:rsid w:val="003A04A2"/>
    <w:rsid w:val="003B2933"/>
    <w:rsid w:val="003C10BD"/>
    <w:rsid w:val="003C3384"/>
    <w:rsid w:val="003D014F"/>
    <w:rsid w:val="003E44F1"/>
    <w:rsid w:val="003E5EEE"/>
    <w:rsid w:val="003F34C2"/>
    <w:rsid w:val="003F3B2D"/>
    <w:rsid w:val="003F5F16"/>
    <w:rsid w:val="003F79AB"/>
    <w:rsid w:val="00402C54"/>
    <w:rsid w:val="00404FA2"/>
    <w:rsid w:val="0041019D"/>
    <w:rsid w:val="00420EB6"/>
    <w:rsid w:val="0042511B"/>
    <w:rsid w:val="00442F11"/>
    <w:rsid w:val="00442F79"/>
    <w:rsid w:val="00443DFA"/>
    <w:rsid w:val="0044580F"/>
    <w:rsid w:val="0046349A"/>
    <w:rsid w:val="00467938"/>
    <w:rsid w:val="0047328D"/>
    <w:rsid w:val="004772AD"/>
    <w:rsid w:val="00483900"/>
    <w:rsid w:val="00494EA6"/>
    <w:rsid w:val="00495E4E"/>
    <w:rsid w:val="004A08D7"/>
    <w:rsid w:val="004A4A5D"/>
    <w:rsid w:val="004A4F31"/>
    <w:rsid w:val="004B2C02"/>
    <w:rsid w:val="004B40CC"/>
    <w:rsid w:val="004B7AB3"/>
    <w:rsid w:val="004C4707"/>
    <w:rsid w:val="004C7FD0"/>
    <w:rsid w:val="004D1297"/>
    <w:rsid w:val="004D5A04"/>
    <w:rsid w:val="004D7F99"/>
    <w:rsid w:val="004E0472"/>
    <w:rsid w:val="004F08DF"/>
    <w:rsid w:val="004F37BE"/>
    <w:rsid w:val="004F7B79"/>
    <w:rsid w:val="0050038E"/>
    <w:rsid w:val="00502145"/>
    <w:rsid w:val="005138A5"/>
    <w:rsid w:val="00523C75"/>
    <w:rsid w:val="00524D2A"/>
    <w:rsid w:val="00525AF7"/>
    <w:rsid w:val="005265D9"/>
    <w:rsid w:val="00527F89"/>
    <w:rsid w:val="00542A8D"/>
    <w:rsid w:val="005578E0"/>
    <w:rsid w:val="00560F6E"/>
    <w:rsid w:val="005615A2"/>
    <w:rsid w:val="00565A9C"/>
    <w:rsid w:val="00565F88"/>
    <w:rsid w:val="005670E3"/>
    <w:rsid w:val="00567F27"/>
    <w:rsid w:val="0057067B"/>
    <w:rsid w:val="005732F4"/>
    <w:rsid w:val="00576F95"/>
    <w:rsid w:val="00576FA2"/>
    <w:rsid w:val="00581E18"/>
    <w:rsid w:val="005846A4"/>
    <w:rsid w:val="00584F28"/>
    <w:rsid w:val="00595380"/>
    <w:rsid w:val="005B080F"/>
    <w:rsid w:val="005B504E"/>
    <w:rsid w:val="005C72A5"/>
    <w:rsid w:val="005D06CB"/>
    <w:rsid w:val="005D41E9"/>
    <w:rsid w:val="005D4254"/>
    <w:rsid w:val="005D7E00"/>
    <w:rsid w:val="005E00B8"/>
    <w:rsid w:val="005E521C"/>
    <w:rsid w:val="005E6A0A"/>
    <w:rsid w:val="005F1A99"/>
    <w:rsid w:val="005F1ED2"/>
    <w:rsid w:val="005F3ADD"/>
    <w:rsid w:val="005F3B93"/>
    <w:rsid w:val="005F4869"/>
    <w:rsid w:val="005F592A"/>
    <w:rsid w:val="005F6122"/>
    <w:rsid w:val="00600B9D"/>
    <w:rsid w:val="00602A5C"/>
    <w:rsid w:val="00606247"/>
    <w:rsid w:val="00606A62"/>
    <w:rsid w:val="00625D39"/>
    <w:rsid w:val="0062715F"/>
    <w:rsid w:val="00630B0D"/>
    <w:rsid w:val="00633A77"/>
    <w:rsid w:val="00637FEF"/>
    <w:rsid w:val="00640D34"/>
    <w:rsid w:val="00651506"/>
    <w:rsid w:val="0065449B"/>
    <w:rsid w:val="006608E0"/>
    <w:rsid w:val="00660CF4"/>
    <w:rsid w:val="00663B8A"/>
    <w:rsid w:val="00665B36"/>
    <w:rsid w:val="0066616A"/>
    <w:rsid w:val="00670E6D"/>
    <w:rsid w:val="006727FB"/>
    <w:rsid w:val="006745A3"/>
    <w:rsid w:val="00674DB4"/>
    <w:rsid w:val="00687FE0"/>
    <w:rsid w:val="00690329"/>
    <w:rsid w:val="00691A9E"/>
    <w:rsid w:val="0069470C"/>
    <w:rsid w:val="00694CC7"/>
    <w:rsid w:val="00694E75"/>
    <w:rsid w:val="00695D5A"/>
    <w:rsid w:val="006964FD"/>
    <w:rsid w:val="006972DF"/>
    <w:rsid w:val="006A0FA5"/>
    <w:rsid w:val="006A7956"/>
    <w:rsid w:val="006A7A17"/>
    <w:rsid w:val="006B1154"/>
    <w:rsid w:val="006B616D"/>
    <w:rsid w:val="006C3CCE"/>
    <w:rsid w:val="006D0868"/>
    <w:rsid w:val="006F1E24"/>
    <w:rsid w:val="00703FD5"/>
    <w:rsid w:val="007047EF"/>
    <w:rsid w:val="007078A6"/>
    <w:rsid w:val="0071119B"/>
    <w:rsid w:val="00711DF0"/>
    <w:rsid w:val="007144B4"/>
    <w:rsid w:val="00723C2E"/>
    <w:rsid w:val="00723FDE"/>
    <w:rsid w:val="0072573B"/>
    <w:rsid w:val="00726664"/>
    <w:rsid w:val="0073172D"/>
    <w:rsid w:val="0074087A"/>
    <w:rsid w:val="00751E6F"/>
    <w:rsid w:val="007559E9"/>
    <w:rsid w:val="00757A32"/>
    <w:rsid w:val="007679E7"/>
    <w:rsid w:val="00767F01"/>
    <w:rsid w:val="00772B94"/>
    <w:rsid w:val="00774994"/>
    <w:rsid w:val="00775EBE"/>
    <w:rsid w:val="007775F0"/>
    <w:rsid w:val="007804E0"/>
    <w:rsid w:val="007A7F2D"/>
    <w:rsid w:val="007B47D6"/>
    <w:rsid w:val="007B72E8"/>
    <w:rsid w:val="007C3413"/>
    <w:rsid w:val="007D1840"/>
    <w:rsid w:val="007D4C34"/>
    <w:rsid w:val="007D5406"/>
    <w:rsid w:val="007D61CF"/>
    <w:rsid w:val="007E3F0C"/>
    <w:rsid w:val="007E4550"/>
    <w:rsid w:val="007E756C"/>
    <w:rsid w:val="007F2C1C"/>
    <w:rsid w:val="00800A34"/>
    <w:rsid w:val="00801FB3"/>
    <w:rsid w:val="00805C8A"/>
    <w:rsid w:val="0081126F"/>
    <w:rsid w:val="008147E3"/>
    <w:rsid w:val="008170E5"/>
    <w:rsid w:val="00837D18"/>
    <w:rsid w:val="00844128"/>
    <w:rsid w:val="00846C1E"/>
    <w:rsid w:val="00847125"/>
    <w:rsid w:val="00852647"/>
    <w:rsid w:val="00862154"/>
    <w:rsid w:val="00862638"/>
    <w:rsid w:val="00862E59"/>
    <w:rsid w:val="00865401"/>
    <w:rsid w:val="008660A2"/>
    <w:rsid w:val="00871DD4"/>
    <w:rsid w:val="00874DDE"/>
    <w:rsid w:val="00875851"/>
    <w:rsid w:val="00876764"/>
    <w:rsid w:val="008811CE"/>
    <w:rsid w:val="00882FC5"/>
    <w:rsid w:val="00886454"/>
    <w:rsid w:val="00886BA2"/>
    <w:rsid w:val="008957C9"/>
    <w:rsid w:val="008A03FA"/>
    <w:rsid w:val="008A1A0C"/>
    <w:rsid w:val="008B162F"/>
    <w:rsid w:val="008C1924"/>
    <w:rsid w:val="008C240C"/>
    <w:rsid w:val="008C342B"/>
    <w:rsid w:val="008C34BB"/>
    <w:rsid w:val="008D55B2"/>
    <w:rsid w:val="008D67C7"/>
    <w:rsid w:val="008E62A5"/>
    <w:rsid w:val="008E6520"/>
    <w:rsid w:val="008E6EAB"/>
    <w:rsid w:val="008E7393"/>
    <w:rsid w:val="008E7C6E"/>
    <w:rsid w:val="008F2B7B"/>
    <w:rsid w:val="008F6070"/>
    <w:rsid w:val="00901A48"/>
    <w:rsid w:val="009112B6"/>
    <w:rsid w:val="00913DE5"/>
    <w:rsid w:val="009147A6"/>
    <w:rsid w:val="00914F01"/>
    <w:rsid w:val="00923300"/>
    <w:rsid w:val="00931C7E"/>
    <w:rsid w:val="009350C2"/>
    <w:rsid w:val="0093670B"/>
    <w:rsid w:val="00937942"/>
    <w:rsid w:val="00942AE6"/>
    <w:rsid w:val="009460BB"/>
    <w:rsid w:val="009501AC"/>
    <w:rsid w:val="0095026E"/>
    <w:rsid w:val="00950AC2"/>
    <w:rsid w:val="009557BC"/>
    <w:rsid w:val="00955A41"/>
    <w:rsid w:val="00955E28"/>
    <w:rsid w:val="00962279"/>
    <w:rsid w:val="00963B8F"/>
    <w:rsid w:val="009677CE"/>
    <w:rsid w:val="00970218"/>
    <w:rsid w:val="00970D9C"/>
    <w:rsid w:val="00986B44"/>
    <w:rsid w:val="009870A2"/>
    <w:rsid w:val="00997F11"/>
    <w:rsid w:val="009A0423"/>
    <w:rsid w:val="009A0DFD"/>
    <w:rsid w:val="009A3F18"/>
    <w:rsid w:val="009B0A30"/>
    <w:rsid w:val="009B13DB"/>
    <w:rsid w:val="009B4384"/>
    <w:rsid w:val="009C10B3"/>
    <w:rsid w:val="009E044C"/>
    <w:rsid w:val="009E1D82"/>
    <w:rsid w:val="009E30B0"/>
    <w:rsid w:val="009E47B6"/>
    <w:rsid w:val="009E507D"/>
    <w:rsid w:val="009E5BD0"/>
    <w:rsid w:val="009E61D8"/>
    <w:rsid w:val="009F0450"/>
    <w:rsid w:val="009F0D45"/>
    <w:rsid w:val="00A02CB8"/>
    <w:rsid w:val="00A037DF"/>
    <w:rsid w:val="00A0416A"/>
    <w:rsid w:val="00A06C9D"/>
    <w:rsid w:val="00A30D11"/>
    <w:rsid w:val="00A31649"/>
    <w:rsid w:val="00A34E31"/>
    <w:rsid w:val="00A363D7"/>
    <w:rsid w:val="00A36DDC"/>
    <w:rsid w:val="00A5310C"/>
    <w:rsid w:val="00A554CA"/>
    <w:rsid w:val="00A574EF"/>
    <w:rsid w:val="00A85A6A"/>
    <w:rsid w:val="00A907BF"/>
    <w:rsid w:val="00A936E0"/>
    <w:rsid w:val="00AA5510"/>
    <w:rsid w:val="00AB6423"/>
    <w:rsid w:val="00AB66FB"/>
    <w:rsid w:val="00AC32AF"/>
    <w:rsid w:val="00AD64F6"/>
    <w:rsid w:val="00AE19CD"/>
    <w:rsid w:val="00AE59AB"/>
    <w:rsid w:val="00AF36F8"/>
    <w:rsid w:val="00B1351D"/>
    <w:rsid w:val="00B13702"/>
    <w:rsid w:val="00B13E84"/>
    <w:rsid w:val="00B164FD"/>
    <w:rsid w:val="00B22458"/>
    <w:rsid w:val="00B32194"/>
    <w:rsid w:val="00B34C5B"/>
    <w:rsid w:val="00B54978"/>
    <w:rsid w:val="00B613AE"/>
    <w:rsid w:val="00B62660"/>
    <w:rsid w:val="00B628CE"/>
    <w:rsid w:val="00B65153"/>
    <w:rsid w:val="00B659E7"/>
    <w:rsid w:val="00B65C77"/>
    <w:rsid w:val="00B67011"/>
    <w:rsid w:val="00B75B72"/>
    <w:rsid w:val="00B82500"/>
    <w:rsid w:val="00B92939"/>
    <w:rsid w:val="00B933C9"/>
    <w:rsid w:val="00B95489"/>
    <w:rsid w:val="00B97920"/>
    <w:rsid w:val="00BA17EB"/>
    <w:rsid w:val="00BA5F48"/>
    <w:rsid w:val="00BA6AF4"/>
    <w:rsid w:val="00BB1404"/>
    <w:rsid w:val="00BB2F7B"/>
    <w:rsid w:val="00BC17E6"/>
    <w:rsid w:val="00BC3E85"/>
    <w:rsid w:val="00BC6B37"/>
    <w:rsid w:val="00BD33A3"/>
    <w:rsid w:val="00BD7D2A"/>
    <w:rsid w:val="00BE39C6"/>
    <w:rsid w:val="00BE536B"/>
    <w:rsid w:val="00BE71F5"/>
    <w:rsid w:val="00BF2D79"/>
    <w:rsid w:val="00BF66AD"/>
    <w:rsid w:val="00C00730"/>
    <w:rsid w:val="00C020B6"/>
    <w:rsid w:val="00C03448"/>
    <w:rsid w:val="00C06B7B"/>
    <w:rsid w:val="00C12365"/>
    <w:rsid w:val="00C13D11"/>
    <w:rsid w:val="00C14CF4"/>
    <w:rsid w:val="00C167EF"/>
    <w:rsid w:val="00C2300E"/>
    <w:rsid w:val="00C2418B"/>
    <w:rsid w:val="00C30D0E"/>
    <w:rsid w:val="00C35BC8"/>
    <w:rsid w:val="00C36712"/>
    <w:rsid w:val="00C36A75"/>
    <w:rsid w:val="00C407EB"/>
    <w:rsid w:val="00C53C9C"/>
    <w:rsid w:val="00C548B9"/>
    <w:rsid w:val="00C55186"/>
    <w:rsid w:val="00C564C6"/>
    <w:rsid w:val="00C72C8B"/>
    <w:rsid w:val="00C816E5"/>
    <w:rsid w:val="00C8497F"/>
    <w:rsid w:val="00C9138A"/>
    <w:rsid w:val="00C94469"/>
    <w:rsid w:val="00CB2C98"/>
    <w:rsid w:val="00CB7252"/>
    <w:rsid w:val="00CC06CC"/>
    <w:rsid w:val="00CC1D95"/>
    <w:rsid w:val="00CC3632"/>
    <w:rsid w:val="00CC77D4"/>
    <w:rsid w:val="00CD10C9"/>
    <w:rsid w:val="00CE0324"/>
    <w:rsid w:val="00CE41A1"/>
    <w:rsid w:val="00CE5F55"/>
    <w:rsid w:val="00CF1CAC"/>
    <w:rsid w:val="00CF6EFA"/>
    <w:rsid w:val="00D00110"/>
    <w:rsid w:val="00D03F97"/>
    <w:rsid w:val="00D0494B"/>
    <w:rsid w:val="00D076F4"/>
    <w:rsid w:val="00D14211"/>
    <w:rsid w:val="00D14F41"/>
    <w:rsid w:val="00D17B24"/>
    <w:rsid w:val="00D23B40"/>
    <w:rsid w:val="00D269D6"/>
    <w:rsid w:val="00D2791A"/>
    <w:rsid w:val="00D27950"/>
    <w:rsid w:val="00D31770"/>
    <w:rsid w:val="00D34068"/>
    <w:rsid w:val="00D36037"/>
    <w:rsid w:val="00D44365"/>
    <w:rsid w:val="00D45F1D"/>
    <w:rsid w:val="00D53DA2"/>
    <w:rsid w:val="00D5673C"/>
    <w:rsid w:val="00D57D3E"/>
    <w:rsid w:val="00D64C5A"/>
    <w:rsid w:val="00D843E4"/>
    <w:rsid w:val="00D90C2D"/>
    <w:rsid w:val="00D94F2C"/>
    <w:rsid w:val="00D95162"/>
    <w:rsid w:val="00DA15E0"/>
    <w:rsid w:val="00DA232E"/>
    <w:rsid w:val="00DA27EF"/>
    <w:rsid w:val="00DA3EE3"/>
    <w:rsid w:val="00DB3877"/>
    <w:rsid w:val="00DB7645"/>
    <w:rsid w:val="00DC0561"/>
    <w:rsid w:val="00DD0300"/>
    <w:rsid w:val="00DD5224"/>
    <w:rsid w:val="00DD5924"/>
    <w:rsid w:val="00DE4696"/>
    <w:rsid w:val="00DE47B1"/>
    <w:rsid w:val="00DF4C8E"/>
    <w:rsid w:val="00DF6FB9"/>
    <w:rsid w:val="00E01DB8"/>
    <w:rsid w:val="00E026C6"/>
    <w:rsid w:val="00E03428"/>
    <w:rsid w:val="00E05606"/>
    <w:rsid w:val="00E1570E"/>
    <w:rsid w:val="00E17589"/>
    <w:rsid w:val="00E25ADD"/>
    <w:rsid w:val="00E26F8D"/>
    <w:rsid w:val="00E371DB"/>
    <w:rsid w:val="00E401CF"/>
    <w:rsid w:val="00E4027E"/>
    <w:rsid w:val="00E43D3D"/>
    <w:rsid w:val="00E44B1F"/>
    <w:rsid w:val="00E459AB"/>
    <w:rsid w:val="00E5602A"/>
    <w:rsid w:val="00E62EDF"/>
    <w:rsid w:val="00E70086"/>
    <w:rsid w:val="00E80CCC"/>
    <w:rsid w:val="00E81A3F"/>
    <w:rsid w:val="00E8372C"/>
    <w:rsid w:val="00E85C8B"/>
    <w:rsid w:val="00E9429A"/>
    <w:rsid w:val="00E95876"/>
    <w:rsid w:val="00E9625B"/>
    <w:rsid w:val="00E97087"/>
    <w:rsid w:val="00EA7324"/>
    <w:rsid w:val="00EB04EB"/>
    <w:rsid w:val="00EB18A2"/>
    <w:rsid w:val="00EB41C9"/>
    <w:rsid w:val="00EC212D"/>
    <w:rsid w:val="00EC7966"/>
    <w:rsid w:val="00ED3746"/>
    <w:rsid w:val="00ED3995"/>
    <w:rsid w:val="00ED5671"/>
    <w:rsid w:val="00ED630F"/>
    <w:rsid w:val="00EE0B15"/>
    <w:rsid w:val="00EE4ED6"/>
    <w:rsid w:val="00EE566B"/>
    <w:rsid w:val="00EF438A"/>
    <w:rsid w:val="00EF4FB7"/>
    <w:rsid w:val="00EF559C"/>
    <w:rsid w:val="00F006BD"/>
    <w:rsid w:val="00F12F81"/>
    <w:rsid w:val="00F2303F"/>
    <w:rsid w:val="00F277CA"/>
    <w:rsid w:val="00F3571B"/>
    <w:rsid w:val="00F42B5A"/>
    <w:rsid w:val="00F479D3"/>
    <w:rsid w:val="00F50768"/>
    <w:rsid w:val="00F53AF3"/>
    <w:rsid w:val="00F54378"/>
    <w:rsid w:val="00F55B69"/>
    <w:rsid w:val="00F5767B"/>
    <w:rsid w:val="00F80CA1"/>
    <w:rsid w:val="00F80FEE"/>
    <w:rsid w:val="00F82908"/>
    <w:rsid w:val="00F87AA4"/>
    <w:rsid w:val="00F92A79"/>
    <w:rsid w:val="00F935E7"/>
    <w:rsid w:val="00F956E7"/>
    <w:rsid w:val="00F97681"/>
    <w:rsid w:val="00FA1029"/>
    <w:rsid w:val="00FA39DC"/>
    <w:rsid w:val="00FA531B"/>
    <w:rsid w:val="00FB6ED3"/>
    <w:rsid w:val="00FC0CE9"/>
    <w:rsid w:val="00FC1000"/>
    <w:rsid w:val="00FC4C7A"/>
    <w:rsid w:val="00FD3729"/>
    <w:rsid w:val="00FE584F"/>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8A5"/>
    <w:pPr>
      <w:overflowPunct w:val="0"/>
      <w:autoSpaceDE w:val="0"/>
      <w:autoSpaceDN w:val="0"/>
      <w:adjustRightInd w:val="0"/>
      <w:textAlignment w:val="baseline"/>
    </w:pPr>
  </w:style>
  <w:style w:type="paragraph" w:styleId="Heading1">
    <w:name w:val="heading 1"/>
    <w:basedOn w:val="Normal"/>
    <w:next w:val="Normal"/>
    <w:link w:val="Heading1Char"/>
    <w:qFormat/>
    <w:rsid w:val="001F38A5"/>
    <w:pPr>
      <w:keepNext/>
      <w:outlineLvl w:val="0"/>
    </w:pPr>
    <w:rPr>
      <w:rFonts w:ascii="Garamond" w:hAnsi="Garamond"/>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8A5"/>
    <w:rPr>
      <w:rFonts w:ascii="Garamond" w:hAnsi="Garamond"/>
      <w:b/>
      <w:color w:val="000000"/>
      <w:sz w:val="24"/>
      <w:u w:val="single"/>
    </w:rPr>
  </w:style>
  <w:style w:type="paragraph" w:styleId="Header">
    <w:name w:val="header"/>
    <w:basedOn w:val="Normal"/>
    <w:link w:val="HeaderChar"/>
    <w:rsid w:val="001F38A5"/>
    <w:pPr>
      <w:tabs>
        <w:tab w:val="center" w:pos="4320"/>
        <w:tab w:val="right" w:pos="8640"/>
      </w:tabs>
    </w:pPr>
  </w:style>
  <w:style w:type="character" w:customStyle="1" w:styleId="HeaderChar">
    <w:name w:val="Header Char"/>
    <w:basedOn w:val="DefaultParagraphFont"/>
    <w:link w:val="Header"/>
    <w:rsid w:val="001F38A5"/>
  </w:style>
  <w:style w:type="paragraph" w:styleId="Footer">
    <w:name w:val="footer"/>
    <w:basedOn w:val="Normal"/>
    <w:link w:val="FooterChar"/>
    <w:rsid w:val="001F38A5"/>
    <w:pPr>
      <w:tabs>
        <w:tab w:val="center" w:pos="4320"/>
        <w:tab w:val="right" w:pos="8640"/>
      </w:tabs>
    </w:pPr>
  </w:style>
  <w:style w:type="character" w:customStyle="1" w:styleId="FooterChar">
    <w:name w:val="Footer Char"/>
    <w:basedOn w:val="DefaultParagraphFont"/>
    <w:link w:val="Footer"/>
    <w:rsid w:val="001F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8A5"/>
    <w:pPr>
      <w:overflowPunct w:val="0"/>
      <w:autoSpaceDE w:val="0"/>
      <w:autoSpaceDN w:val="0"/>
      <w:adjustRightInd w:val="0"/>
      <w:textAlignment w:val="baseline"/>
    </w:pPr>
  </w:style>
  <w:style w:type="paragraph" w:styleId="Heading1">
    <w:name w:val="heading 1"/>
    <w:basedOn w:val="Normal"/>
    <w:next w:val="Normal"/>
    <w:link w:val="Heading1Char"/>
    <w:qFormat/>
    <w:rsid w:val="001F38A5"/>
    <w:pPr>
      <w:keepNext/>
      <w:outlineLvl w:val="0"/>
    </w:pPr>
    <w:rPr>
      <w:rFonts w:ascii="Garamond" w:hAnsi="Garamond"/>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8A5"/>
    <w:rPr>
      <w:rFonts w:ascii="Garamond" w:hAnsi="Garamond"/>
      <w:b/>
      <w:color w:val="000000"/>
      <w:sz w:val="24"/>
      <w:u w:val="single"/>
    </w:rPr>
  </w:style>
  <w:style w:type="paragraph" w:styleId="Header">
    <w:name w:val="header"/>
    <w:basedOn w:val="Normal"/>
    <w:link w:val="HeaderChar"/>
    <w:rsid w:val="001F38A5"/>
    <w:pPr>
      <w:tabs>
        <w:tab w:val="center" w:pos="4320"/>
        <w:tab w:val="right" w:pos="8640"/>
      </w:tabs>
    </w:pPr>
  </w:style>
  <w:style w:type="character" w:customStyle="1" w:styleId="HeaderChar">
    <w:name w:val="Header Char"/>
    <w:basedOn w:val="DefaultParagraphFont"/>
    <w:link w:val="Header"/>
    <w:rsid w:val="001F38A5"/>
  </w:style>
  <w:style w:type="paragraph" w:styleId="Footer">
    <w:name w:val="footer"/>
    <w:basedOn w:val="Normal"/>
    <w:link w:val="FooterChar"/>
    <w:rsid w:val="001F38A5"/>
    <w:pPr>
      <w:tabs>
        <w:tab w:val="center" w:pos="4320"/>
        <w:tab w:val="right" w:pos="8640"/>
      </w:tabs>
    </w:pPr>
  </w:style>
  <w:style w:type="character" w:customStyle="1" w:styleId="FooterChar">
    <w:name w:val="Footer Char"/>
    <w:basedOn w:val="DefaultParagraphFont"/>
    <w:link w:val="Footer"/>
    <w:rsid w:val="001F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415</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Vernita Ares</dc:creator>
  <cp:lastModifiedBy>Vernita Ares</cp:lastModifiedBy>
  <cp:revision>1</cp:revision>
  <dcterms:created xsi:type="dcterms:W3CDTF">2016-06-29T23:01:00Z</dcterms:created>
  <dcterms:modified xsi:type="dcterms:W3CDTF">2016-06-29T23:55:00Z</dcterms:modified>
</cp:coreProperties>
</file>